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62" w:rsidRDefault="00F005F2">
      <w:pPr>
        <w:pStyle w:val="Vchoz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145405" cy="126619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762" w:rsidRDefault="00F005F2">
      <w:pPr>
        <w:pStyle w:val="Vchoz"/>
        <w:jc w:val="center"/>
      </w:pPr>
      <w:r>
        <w:rPr>
          <w:rFonts w:ascii="Ariel" w:hAnsi="Ariel"/>
          <w:sz w:val="24"/>
          <w:szCs w:val="24"/>
        </w:rPr>
        <w:t>Odpovědi na dotazy k zakázce pořizované</w:t>
      </w:r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ze</w:t>
      </w:r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zdrojů</w:t>
      </w:r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OP</w:t>
      </w:r>
      <w:r>
        <w:rPr>
          <w:rFonts w:ascii="Ariel" w:hAnsi="Ariel" w:cs="Calibri"/>
          <w:sz w:val="24"/>
          <w:szCs w:val="24"/>
        </w:rPr>
        <w:t xml:space="preserve"> </w:t>
      </w:r>
      <w:proofErr w:type="spellStart"/>
      <w:r>
        <w:rPr>
          <w:rFonts w:ascii="Ariel" w:hAnsi="Ariel"/>
          <w:sz w:val="24"/>
          <w:szCs w:val="24"/>
        </w:rPr>
        <w:t>VaVpI</w:t>
      </w:r>
      <w:proofErr w:type="spellEnd"/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a</w:t>
      </w:r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státního</w:t>
      </w:r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rozpočtu</w:t>
      </w:r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ČR</w:t>
      </w:r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v rámci</w:t>
      </w:r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projektu</w:t>
      </w:r>
      <w:r>
        <w:rPr>
          <w:rFonts w:ascii="Ariel" w:hAnsi="Ariel" w:cs="Calibri"/>
          <w:sz w:val="24"/>
          <w:szCs w:val="24"/>
        </w:rPr>
        <w:t xml:space="preserve"> ‚Infrastruktura pro biomedicínské inženýrství ‘ (</w:t>
      </w:r>
      <w:proofErr w:type="spellStart"/>
      <w:proofErr w:type="gramStart"/>
      <w:r>
        <w:rPr>
          <w:rFonts w:ascii="Ariel" w:hAnsi="Ariel" w:cs="Calibri"/>
          <w:sz w:val="24"/>
          <w:szCs w:val="24"/>
        </w:rPr>
        <w:t>reg</w:t>
      </w:r>
      <w:proofErr w:type="gramEnd"/>
      <w:r>
        <w:rPr>
          <w:rFonts w:ascii="Ariel" w:hAnsi="Ariel" w:cs="Calibri"/>
          <w:sz w:val="24"/>
          <w:szCs w:val="24"/>
        </w:rPr>
        <w:t>.</w:t>
      </w:r>
      <w:proofErr w:type="gramStart"/>
      <w:r>
        <w:rPr>
          <w:rFonts w:ascii="Ariel" w:hAnsi="Ariel" w:cs="Calibri"/>
          <w:sz w:val="24"/>
          <w:szCs w:val="24"/>
        </w:rPr>
        <w:t>č</w:t>
      </w:r>
      <w:proofErr w:type="spellEnd"/>
      <w:r>
        <w:rPr>
          <w:rFonts w:ascii="Ariel" w:hAnsi="Ariel" w:cs="Calibri"/>
          <w:sz w:val="24"/>
          <w:szCs w:val="24"/>
        </w:rPr>
        <w:t>.</w:t>
      </w:r>
      <w:proofErr w:type="gramEnd"/>
      <w:r>
        <w:rPr>
          <w:rFonts w:ascii="Ariel" w:hAnsi="Ariel" w:cs="Calibri"/>
          <w:sz w:val="24"/>
          <w:szCs w:val="24"/>
        </w:rPr>
        <w:t xml:space="preserve"> CZ.1.05/4.1.00/04.0193) a </w:t>
      </w:r>
      <w:r>
        <w:rPr>
          <w:rFonts w:ascii="Ariel" w:hAnsi="Ariel"/>
          <w:sz w:val="24"/>
          <w:szCs w:val="24"/>
        </w:rPr>
        <w:t xml:space="preserve">zveřejněné pod číslem 7202010010383 v informačním systému veřejných </w:t>
      </w:r>
      <w:r>
        <w:rPr>
          <w:rFonts w:ascii="Ariel" w:hAnsi="Ariel"/>
          <w:sz w:val="24"/>
          <w:szCs w:val="24"/>
        </w:rPr>
        <w:t>zakázek</w:t>
      </w:r>
    </w:p>
    <w:p w:rsidR="00797762" w:rsidRDefault="00F005F2">
      <w:pPr>
        <w:pStyle w:val="Vchoz"/>
        <w:jc w:val="center"/>
      </w:pPr>
      <w:r>
        <w:rPr>
          <w:rFonts w:ascii="Arial" w:hAnsi="Arial" w:cs="Arial"/>
          <w:b/>
          <w:bCs/>
          <w:sz w:val="32"/>
          <w:szCs w:val="32"/>
        </w:rPr>
        <w:t>„</w:t>
      </w:r>
      <w:bookmarkStart w:id="1" w:name="OLE_LINK2"/>
      <w:bookmarkEnd w:id="1"/>
      <w:r>
        <w:rPr>
          <w:rFonts w:ascii="Arial" w:hAnsi="Arial" w:cs="Arial"/>
          <w:b/>
          <w:bCs/>
          <w:sz w:val="32"/>
          <w:szCs w:val="32"/>
        </w:rPr>
        <w:t>Stavební práce v rámci projektu CZ.1.05/4.1.00/04.0193 Infrastruktura pro biomedicínské inženýrství</w:t>
      </w:r>
    </w:p>
    <w:p w:rsidR="00797762" w:rsidRDefault="00797762">
      <w:pPr>
        <w:pStyle w:val="Vchoz"/>
        <w:jc w:val="center"/>
      </w:pPr>
    </w:p>
    <w:p w:rsidR="00797762" w:rsidRDefault="00F005F2">
      <w:pPr>
        <w:pStyle w:val="Vchoz"/>
      </w:pPr>
      <w:r>
        <w:rPr>
          <w:rFonts w:ascii="Arial" w:hAnsi="Arial" w:cs="Arial"/>
          <w:b/>
          <w:bCs/>
          <w:sz w:val="24"/>
          <w:szCs w:val="24"/>
          <w:u w:val="single"/>
        </w:rPr>
        <w:t>Dotaz č. 1</w:t>
      </w:r>
    </w:p>
    <w:p w:rsidR="00797762" w:rsidRDefault="00F005F2">
      <w:pPr>
        <w:pStyle w:val="Vchoz"/>
        <w:spacing w:after="0"/>
      </w:pPr>
      <w:r>
        <w:rPr>
          <w:rFonts w:ascii="Arial" w:hAnsi="Arial" w:cs="Arial"/>
          <w:sz w:val="24"/>
          <w:szCs w:val="24"/>
        </w:rPr>
        <w:t>Odpovědi na všechny doručené dotazy budou uveřejněny na internetových</w:t>
      </w:r>
    </w:p>
    <w:p w:rsidR="00797762" w:rsidRDefault="00F005F2">
      <w:pPr>
        <w:pStyle w:val="Vchoz"/>
        <w:spacing w:after="0"/>
      </w:pPr>
      <w:proofErr w:type="gramStart"/>
      <w:r>
        <w:rPr>
          <w:rFonts w:ascii="Arial" w:hAnsi="Arial" w:cs="Arial"/>
          <w:sz w:val="24"/>
          <w:szCs w:val="24"/>
        </w:rPr>
        <w:t>stránkách</w:t>
      </w:r>
      <w:proofErr w:type="gramEnd"/>
      <w:r>
        <w:rPr>
          <w:rFonts w:ascii="Arial" w:hAnsi="Arial" w:cs="Arial"/>
          <w:sz w:val="24"/>
          <w:szCs w:val="24"/>
        </w:rPr>
        <w:t xml:space="preserve"> zadavatele. Jaká je přesně internetová adresa těchto st</w:t>
      </w:r>
      <w:r>
        <w:rPr>
          <w:rFonts w:ascii="Arial" w:hAnsi="Arial" w:cs="Arial"/>
          <w:sz w:val="24"/>
          <w:szCs w:val="24"/>
        </w:rPr>
        <w:t>ránek? Nikde v textu jsem tento odkaz nenašel.</w:t>
      </w:r>
    </w:p>
    <w:p w:rsidR="00797762" w:rsidRDefault="00797762">
      <w:pPr>
        <w:pStyle w:val="Vchoz"/>
      </w:pPr>
    </w:p>
    <w:p w:rsidR="00797762" w:rsidRDefault="00F005F2">
      <w:pPr>
        <w:pStyle w:val="Vchoz"/>
      </w:pPr>
      <w:r>
        <w:rPr>
          <w:rFonts w:ascii="Arial" w:hAnsi="Arial" w:cs="Arial"/>
          <w:b/>
          <w:sz w:val="24"/>
          <w:szCs w:val="24"/>
          <w:u w:val="single"/>
        </w:rPr>
        <w:t>Odpověď č. 1</w:t>
      </w:r>
    </w:p>
    <w:p w:rsidR="00797762" w:rsidRDefault="00F005F2">
      <w:pPr>
        <w:pStyle w:val="Vchoz"/>
      </w:pPr>
      <w:hyperlink r:id="rId6">
        <w:r>
          <w:rPr>
            <w:rStyle w:val="Internetovodkaz"/>
            <w:rFonts w:ascii="Arial" w:hAnsi="Arial" w:cs="Arial"/>
            <w:sz w:val="24"/>
            <w:szCs w:val="24"/>
          </w:rPr>
          <w:t>http://www.cvut.cz/odborna-verejnost/verejne-zakazky</w:t>
        </w:r>
      </w:hyperlink>
    </w:p>
    <w:p w:rsidR="00797762" w:rsidRDefault="00F005F2">
      <w:pPr>
        <w:pStyle w:val="Vchoz"/>
      </w:pPr>
      <w:r>
        <w:rPr>
          <w:rFonts w:ascii="Arial" w:hAnsi="Arial" w:cs="Arial"/>
          <w:sz w:val="24"/>
          <w:szCs w:val="24"/>
        </w:rPr>
        <w:t>a</w:t>
      </w:r>
    </w:p>
    <w:p w:rsidR="00797762" w:rsidRDefault="00F005F2">
      <w:pPr>
        <w:pStyle w:val="Vchoz"/>
      </w:pPr>
      <w:r>
        <w:rPr>
          <w:rFonts w:ascii="Arial" w:hAnsi="Arial" w:cs="Arial"/>
          <w:sz w:val="24"/>
          <w:szCs w:val="24"/>
        </w:rPr>
        <w:t>http://esf.fbmi.cvut.cz/</w:t>
      </w:r>
    </w:p>
    <w:p w:rsidR="00797762" w:rsidRDefault="00F005F2">
      <w:pPr>
        <w:pStyle w:val="Vchoz"/>
      </w:pPr>
      <w:r>
        <w:rPr>
          <w:rFonts w:ascii="Arial" w:hAnsi="Arial" w:cs="Arial"/>
          <w:sz w:val="24"/>
          <w:szCs w:val="24"/>
        </w:rPr>
        <w:t>a</w:t>
      </w:r>
    </w:p>
    <w:p w:rsidR="00797762" w:rsidRDefault="00F005F2">
      <w:pPr>
        <w:pStyle w:val="Vchoz"/>
      </w:pPr>
      <w:r>
        <w:rPr>
          <w:rFonts w:ascii="Arial" w:hAnsi="Arial" w:cs="Arial"/>
          <w:sz w:val="24"/>
          <w:szCs w:val="24"/>
        </w:rPr>
        <w:t>http://www.msmt.cz/strukturalni-fondy/pre</w:t>
      </w:r>
      <w:r>
        <w:rPr>
          <w:rFonts w:ascii="Arial" w:hAnsi="Arial" w:cs="Arial"/>
          <w:sz w:val="24"/>
          <w:szCs w:val="24"/>
        </w:rPr>
        <w:t>hled-vyhlasenych-ukoncenych-verejnych-zakazek-2012</w:t>
      </w:r>
    </w:p>
    <w:p w:rsidR="00797762" w:rsidRDefault="00F005F2">
      <w:pPr>
        <w:pStyle w:val="Vchoz"/>
      </w:pPr>
      <w:r>
        <w:rPr>
          <w:rFonts w:ascii="Arial" w:hAnsi="Arial" w:cs="Arial"/>
          <w:sz w:val="24"/>
          <w:szCs w:val="24"/>
        </w:rPr>
        <w:t>zároveň bude odpověď na všechny dotazy zaslána elektronicky všem uchazečům, kteří podali žádost o zadávací dokumentaci.</w:t>
      </w:r>
    </w:p>
    <w:p w:rsidR="00797762" w:rsidRDefault="00797762">
      <w:pPr>
        <w:pStyle w:val="Vchoz"/>
      </w:pPr>
    </w:p>
    <w:p w:rsidR="00797762" w:rsidRDefault="00F005F2">
      <w:pPr>
        <w:pStyle w:val="Vchoz"/>
      </w:pPr>
      <w:r>
        <w:rPr>
          <w:rFonts w:ascii="Arial" w:hAnsi="Arial" w:cs="Arial"/>
          <w:b/>
          <w:bCs/>
          <w:sz w:val="24"/>
          <w:szCs w:val="24"/>
          <w:u w:val="single"/>
        </w:rPr>
        <w:t>Dotaz č. 2</w:t>
      </w:r>
    </w:p>
    <w:p w:rsidR="00797762" w:rsidRDefault="00F005F2">
      <w:pPr>
        <w:pStyle w:val="Vchoz"/>
        <w:spacing w:after="0"/>
      </w:pPr>
      <w:r>
        <w:rPr>
          <w:rFonts w:ascii="Arial" w:hAnsi="Arial" w:cs="Arial"/>
          <w:sz w:val="24"/>
          <w:szCs w:val="24"/>
        </w:rPr>
        <w:t xml:space="preserve">Projekt, složka E – výkaz výměr, pod </w:t>
      </w:r>
      <w:proofErr w:type="gramStart"/>
      <w:r>
        <w:rPr>
          <w:rFonts w:ascii="Arial" w:hAnsi="Arial" w:cs="Arial"/>
          <w:sz w:val="24"/>
          <w:szCs w:val="24"/>
        </w:rPr>
        <w:t>složka</w:t>
      </w:r>
      <w:proofErr w:type="gramEnd"/>
      <w:r>
        <w:rPr>
          <w:rFonts w:ascii="Arial" w:hAnsi="Arial" w:cs="Arial"/>
          <w:sz w:val="24"/>
          <w:szCs w:val="24"/>
        </w:rPr>
        <w:t xml:space="preserve"> 1-A, </w:t>
      </w:r>
      <w:proofErr w:type="spellStart"/>
      <w:r>
        <w:rPr>
          <w:rFonts w:ascii="Arial" w:hAnsi="Arial" w:cs="Arial"/>
          <w:sz w:val="24"/>
          <w:szCs w:val="24"/>
        </w:rPr>
        <w:t>excel</w:t>
      </w:r>
      <w:proofErr w:type="spellEnd"/>
      <w:r>
        <w:rPr>
          <w:rFonts w:ascii="Arial" w:hAnsi="Arial" w:cs="Arial"/>
          <w:sz w:val="24"/>
          <w:szCs w:val="24"/>
        </w:rPr>
        <w:t xml:space="preserve"> s VV,</w:t>
      </w:r>
    </w:p>
    <w:p w:rsidR="00797762" w:rsidRDefault="00F005F2">
      <w:pPr>
        <w:pStyle w:val="Vchoz"/>
        <w:spacing w:after="0"/>
      </w:pPr>
      <w:r>
        <w:rPr>
          <w:rFonts w:ascii="Arial" w:hAnsi="Arial" w:cs="Arial"/>
          <w:sz w:val="24"/>
          <w:szCs w:val="24"/>
        </w:rPr>
        <w:t xml:space="preserve"> rekapitulac</w:t>
      </w:r>
      <w:r>
        <w:rPr>
          <w:rFonts w:ascii="Arial" w:hAnsi="Arial" w:cs="Arial"/>
          <w:sz w:val="24"/>
          <w:szCs w:val="24"/>
        </w:rPr>
        <w:t xml:space="preserve">e oddíl 731: Stlačený vzduch, plyny. V položkovém rozpočtu tento oddíl uveden pouze jako jeden komplet. Ostatní profese jako VZT, UT mají svůj VV s </w:t>
      </w:r>
      <w:r>
        <w:rPr>
          <w:rFonts w:ascii="Arial" w:hAnsi="Arial" w:cs="Arial"/>
          <w:sz w:val="24"/>
          <w:szCs w:val="24"/>
        </w:rPr>
        <w:lastRenderedPageBreak/>
        <w:t>položkovým rozpočtem. Má se tedy oddíl 731 ocenit pouze jako jeden komplet? Nebo zde chybí položkový rozpoče</w:t>
      </w:r>
      <w:r>
        <w:rPr>
          <w:rFonts w:ascii="Arial" w:hAnsi="Arial" w:cs="Arial"/>
          <w:sz w:val="24"/>
          <w:szCs w:val="24"/>
        </w:rPr>
        <w:t>t s VV?</w:t>
      </w:r>
    </w:p>
    <w:p w:rsidR="00797762" w:rsidRDefault="00797762">
      <w:pPr>
        <w:pStyle w:val="Vchoz"/>
      </w:pPr>
    </w:p>
    <w:p w:rsidR="00797762" w:rsidRDefault="00F005F2">
      <w:pPr>
        <w:pStyle w:val="Vchoz"/>
      </w:pPr>
      <w:r>
        <w:rPr>
          <w:rFonts w:ascii="Arial" w:hAnsi="Arial" w:cs="Arial"/>
          <w:b/>
          <w:sz w:val="24"/>
          <w:szCs w:val="24"/>
          <w:u w:val="single"/>
        </w:rPr>
        <w:t>Odpověď č. 2</w:t>
      </w:r>
    </w:p>
    <w:p w:rsidR="00797762" w:rsidRDefault="00F005F2">
      <w:pPr>
        <w:pStyle w:val="Vchoz"/>
        <w:spacing w:after="0"/>
      </w:pPr>
      <w:r>
        <w:rPr>
          <w:rFonts w:ascii="Arial" w:hAnsi="Arial" w:cs="Arial"/>
          <w:bCs/>
          <w:sz w:val="24"/>
          <w:szCs w:val="24"/>
        </w:rPr>
        <w:t xml:space="preserve">Stlačený vzduch, plyny je skutečně označen jako komplet, ale zároveň je přiložen položkový výkaz výměr v části Zdravotní instalace, vnitřní plynovod. V této části je kompletní položkový výkaz ke všem rozvodům plynů (stlačený vzduch, </w:t>
      </w:r>
      <w:r>
        <w:rPr>
          <w:rFonts w:ascii="Arial" w:hAnsi="Arial" w:cs="Arial"/>
          <w:bCs/>
          <w:sz w:val="24"/>
          <w:szCs w:val="24"/>
        </w:rPr>
        <w:t>kyslík, dusík,</w:t>
      </w:r>
    </w:p>
    <w:p w:rsidR="00797762" w:rsidRDefault="00F005F2">
      <w:pPr>
        <w:pStyle w:val="Vchoz"/>
        <w:spacing w:after="0"/>
      </w:pPr>
      <w:r>
        <w:rPr>
          <w:rFonts w:ascii="Arial" w:hAnsi="Arial" w:cs="Arial"/>
          <w:bCs/>
          <w:sz w:val="24"/>
          <w:szCs w:val="24"/>
        </w:rPr>
        <w:t>vakuum atd.).</w:t>
      </w:r>
    </w:p>
    <w:p w:rsidR="00797762" w:rsidRDefault="00797762">
      <w:pPr>
        <w:pStyle w:val="Vchoz"/>
        <w:autoSpaceDE w:val="0"/>
        <w:spacing w:line="360" w:lineRule="auto"/>
        <w:jc w:val="center"/>
      </w:pPr>
    </w:p>
    <w:sectPr w:rsidR="0079776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e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7762"/>
    <w:rsid w:val="00797762"/>
    <w:rsid w:val="00F0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Internetovodkaz">
    <w:name w:val="Internetový odkaz"/>
    <w:rPr>
      <w:color w:val="000080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Lohit Hindi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Lohit Hindi"/>
    </w:rPr>
  </w:style>
  <w:style w:type="paragraph" w:styleId="Textbubliny">
    <w:name w:val="Balloon Text"/>
    <w:basedOn w:val="Vchoz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Vchoz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vut.cz/odborna-verejnost/verejne-zakazk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Garant</dc:creator>
  <cp:lastModifiedBy>aa aa</cp:lastModifiedBy>
  <cp:revision>2</cp:revision>
  <dcterms:created xsi:type="dcterms:W3CDTF">2012-04-11T08:11:00Z</dcterms:created>
  <dcterms:modified xsi:type="dcterms:W3CDTF">2012-04-11T08:11:00Z</dcterms:modified>
</cp:coreProperties>
</file>