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85" w:rsidRDefault="003E7D20">
      <w:pPr>
        <w:pStyle w:val="Vchoz"/>
      </w:pPr>
      <w:r>
        <w:rPr>
          <w:noProof/>
          <w:lang w:eastAsia="cs-CZ"/>
        </w:rPr>
        <w:drawing>
          <wp:inline distT="0" distB="0" distL="0" distR="0" wp14:anchorId="1E3DB9A5" wp14:editId="4107C0FD">
            <wp:extent cx="5145405" cy="126619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85" w:rsidRDefault="003E7D20">
      <w:pPr>
        <w:pStyle w:val="Vchoz"/>
        <w:jc w:val="center"/>
      </w:pPr>
      <w:r>
        <w:rPr>
          <w:rFonts w:ascii="Ariel" w:hAnsi="Ariel"/>
          <w:sz w:val="24"/>
          <w:szCs w:val="24"/>
        </w:rPr>
        <w:t>Odpovědi na dotazy k zakázce pořizované</w:t>
      </w:r>
      <w:r>
        <w:rPr>
          <w:rFonts w:ascii="Ariel" w:hAnsi="Ariel" w:cs="Calibri"/>
          <w:sz w:val="24"/>
          <w:szCs w:val="24"/>
        </w:rPr>
        <w:t xml:space="preserve"> </w:t>
      </w:r>
      <w:r>
        <w:rPr>
          <w:rFonts w:ascii="Ariel" w:hAnsi="Ariel"/>
          <w:sz w:val="24"/>
          <w:szCs w:val="24"/>
        </w:rPr>
        <w:t>ze</w:t>
      </w:r>
      <w:r>
        <w:rPr>
          <w:rFonts w:ascii="Ariel" w:hAnsi="Ariel" w:cs="Calibri"/>
          <w:sz w:val="24"/>
          <w:szCs w:val="24"/>
        </w:rPr>
        <w:t xml:space="preserve"> </w:t>
      </w:r>
      <w:r>
        <w:rPr>
          <w:rFonts w:ascii="Ariel" w:hAnsi="Ariel"/>
          <w:sz w:val="24"/>
          <w:szCs w:val="24"/>
        </w:rPr>
        <w:t>zdrojů</w:t>
      </w:r>
      <w:r>
        <w:rPr>
          <w:rFonts w:ascii="Ariel" w:hAnsi="Ariel" w:cs="Calibri"/>
          <w:sz w:val="24"/>
          <w:szCs w:val="24"/>
        </w:rPr>
        <w:t xml:space="preserve"> </w:t>
      </w:r>
      <w:r>
        <w:rPr>
          <w:rFonts w:ascii="Ariel" w:hAnsi="Ariel"/>
          <w:sz w:val="24"/>
          <w:szCs w:val="24"/>
        </w:rPr>
        <w:t>OP</w:t>
      </w:r>
      <w:r>
        <w:rPr>
          <w:rFonts w:ascii="Ariel" w:hAnsi="Ariel" w:cs="Calibri"/>
          <w:sz w:val="24"/>
          <w:szCs w:val="24"/>
        </w:rPr>
        <w:t xml:space="preserve"> </w:t>
      </w:r>
      <w:proofErr w:type="spellStart"/>
      <w:r>
        <w:rPr>
          <w:rFonts w:ascii="Ariel" w:hAnsi="Ariel"/>
          <w:sz w:val="24"/>
          <w:szCs w:val="24"/>
        </w:rPr>
        <w:t>VaVpI</w:t>
      </w:r>
      <w:proofErr w:type="spellEnd"/>
      <w:r>
        <w:rPr>
          <w:rFonts w:ascii="Ariel" w:hAnsi="Ariel" w:cs="Calibri"/>
          <w:sz w:val="24"/>
          <w:szCs w:val="24"/>
        </w:rPr>
        <w:t xml:space="preserve"> </w:t>
      </w:r>
      <w:r>
        <w:rPr>
          <w:rFonts w:ascii="Ariel" w:hAnsi="Ariel"/>
          <w:sz w:val="24"/>
          <w:szCs w:val="24"/>
        </w:rPr>
        <w:t>a</w:t>
      </w:r>
      <w:r>
        <w:rPr>
          <w:rFonts w:ascii="Ariel" w:hAnsi="Ariel" w:cs="Calibri"/>
          <w:sz w:val="24"/>
          <w:szCs w:val="24"/>
        </w:rPr>
        <w:t xml:space="preserve"> </w:t>
      </w:r>
      <w:r>
        <w:rPr>
          <w:rFonts w:ascii="Ariel" w:hAnsi="Ariel"/>
          <w:sz w:val="24"/>
          <w:szCs w:val="24"/>
        </w:rPr>
        <w:t>státního</w:t>
      </w:r>
      <w:r>
        <w:rPr>
          <w:rFonts w:ascii="Ariel" w:hAnsi="Ariel" w:cs="Calibri"/>
          <w:sz w:val="24"/>
          <w:szCs w:val="24"/>
        </w:rPr>
        <w:t xml:space="preserve"> </w:t>
      </w:r>
      <w:r>
        <w:rPr>
          <w:rFonts w:ascii="Ariel" w:hAnsi="Ariel"/>
          <w:sz w:val="24"/>
          <w:szCs w:val="24"/>
        </w:rPr>
        <w:t>rozpočtu</w:t>
      </w:r>
      <w:r>
        <w:rPr>
          <w:rFonts w:ascii="Ariel" w:hAnsi="Ariel" w:cs="Calibri"/>
          <w:sz w:val="24"/>
          <w:szCs w:val="24"/>
        </w:rPr>
        <w:t xml:space="preserve"> </w:t>
      </w:r>
      <w:r>
        <w:rPr>
          <w:rFonts w:ascii="Ariel" w:hAnsi="Ariel"/>
          <w:sz w:val="24"/>
          <w:szCs w:val="24"/>
        </w:rPr>
        <w:t>ČR</w:t>
      </w:r>
      <w:r>
        <w:rPr>
          <w:rFonts w:ascii="Ariel" w:hAnsi="Ariel" w:cs="Calibri"/>
          <w:sz w:val="24"/>
          <w:szCs w:val="24"/>
        </w:rPr>
        <w:t xml:space="preserve"> </w:t>
      </w:r>
      <w:r>
        <w:rPr>
          <w:rFonts w:ascii="Ariel" w:hAnsi="Ariel"/>
          <w:sz w:val="24"/>
          <w:szCs w:val="24"/>
        </w:rPr>
        <w:t>v rámci</w:t>
      </w:r>
      <w:r>
        <w:rPr>
          <w:rFonts w:ascii="Ariel" w:hAnsi="Ariel" w:cs="Calibri"/>
          <w:sz w:val="24"/>
          <w:szCs w:val="24"/>
        </w:rPr>
        <w:t xml:space="preserve"> </w:t>
      </w:r>
      <w:r>
        <w:rPr>
          <w:rFonts w:ascii="Ariel" w:hAnsi="Ariel"/>
          <w:sz w:val="24"/>
          <w:szCs w:val="24"/>
        </w:rPr>
        <w:t>projektu</w:t>
      </w:r>
      <w:r>
        <w:rPr>
          <w:rFonts w:ascii="Ariel" w:hAnsi="Ariel" w:cs="Calibri"/>
          <w:sz w:val="24"/>
          <w:szCs w:val="24"/>
        </w:rPr>
        <w:t xml:space="preserve"> ‚Infrastruktura pro biomedicínské inženýrství ‘ (</w:t>
      </w:r>
      <w:proofErr w:type="spellStart"/>
      <w:r>
        <w:rPr>
          <w:rFonts w:ascii="Ariel" w:hAnsi="Ariel" w:cs="Calibri"/>
          <w:sz w:val="24"/>
          <w:szCs w:val="24"/>
        </w:rPr>
        <w:t>reg</w:t>
      </w:r>
      <w:proofErr w:type="spellEnd"/>
      <w:r>
        <w:rPr>
          <w:rFonts w:ascii="Ariel" w:hAnsi="Ariel" w:cs="Calibri"/>
          <w:sz w:val="24"/>
          <w:szCs w:val="24"/>
        </w:rPr>
        <w:t>.</w:t>
      </w:r>
    </w:p>
    <w:p w:rsidR="008A6185" w:rsidRDefault="003E7D20">
      <w:pPr>
        <w:pStyle w:val="Vchoz"/>
        <w:jc w:val="center"/>
      </w:pPr>
      <w:r>
        <w:rPr>
          <w:rFonts w:ascii="Ariel" w:hAnsi="Ariel" w:cs="Calibri"/>
          <w:sz w:val="24"/>
          <w:szCs w:val="24"/>
        </w:rPr>
        <w:t xml:space="preserve">. CZ.1.05/4.1.00/04.0193) a </w:t>
      </w:r>
      <w:r>
        <w:rPr>
          <w:rFonts w:ascii="Ariel" w:hAnsi="Ariel"/>
          <w:sz w:val="24"/>
          <w:szCs w:val="24"/>
        </w:rPr>
        <w:t>zveřejněné pod číslem 7202010010383 v informačním systému veřejných zakázek</w:t>
      </w:r>
    </w:p>
    <w:p w:rsidR="008A6185" w:rsidRDefault="003E7D20">
      <w:pPr>
        <w:pStyle w:val="Vchoz"/>
        <w:jc w:val="center"/>
      </w:pPr>
      <w:r>
        <w:rPr>
          <w:rFonts w:ascii="Arial" w:hAnsi="Arial" w:cs="Arial"/>
          <w:b/>
          <w:bCs/>
          <w:sz w:val="32"/>
          <w:szCs w:val="32"/>
        </w:rPr>
        <w:t>„</w:t>
      </w:r>
      <w:bookmarkStart w:id="0" w:name="OLE_LINK2"/>
      <w:bookmarkEnd w:id="0"/>
      <w:r>
        <w:rPr>
          <w:rFonts w:ascii="Arial" w:hAnsi="Arial" w:cs="Arial"/>
          <w:b/>
          <w:bCs/>
          <w:sz w:val="32"/>
          <w:szCs w:val="32"/>
        </w:rPr>
        <w:t>Stavební práce v rámci projektu CZ.1.05/4.1.00/04.0193 Infrastruktura pro biomedicínské inženýrství</w:t>
      </w:r>
    </w:p>
    <w:p w:rsidR="000C04FE" w:rsidRDefault="000C04FE" w:rsidP="000C04FE">
      <w:pPr>
        <w:pStyle w:val="Vchoz"/>
      </w:pPr>
    </w:p>
    <w:p w:rsidR="000C04FE" w:rsidRPr="000C04FE" w:rsidRDefault="000C04FE" w:rsidP="000C04FE">
      <w:pPr>
        <w:pStyle w:val="Vchoz"/>
        <w:rPr>
          <w:rFonts w:ascii="Arial" w:hAnsi="Arial" w:cs="Arial"/>
          <w:b/>
          <w:sz w:val="24"/>
          <w:szCs w:val="24"/>
        </w:rPr>
      </w:pPr>
      <w:r w:rsidRPr="000C04FE">
        <w:rPr>
          <w:rFonts w:ascii="Arial" w:hAnsi="Arial" w:cs="Arial"/>
          <w:b/>
          <w:sz w:val="24"/>
          <w:szCs w:val="24"/>
        </w:rPr>
        <w:t>Dotaz č. 11</w:t>
      </w:r>
    </w:p>
    <w:p w:rsidR="000C04FE" w:rsidRPr="000C04FE" w:rsidRDefault="000C04FE" w:rsidP="000C04FE">
      <w:pPr>
        <w:suppressAutoHyphens/>
        <w:spacing w:after="0" w:line="240" w:lineRule="auto"/>
        <w:rPr>
          <w:rFonts w:ascii="Arial Narrow" w:eastAsia="Arial Narrow" w:hAnsi="Arial Narrow" w:cs="Arial Narrow"/>
          <w:i/>
          <w:sz w:val="24"/>
          <w:szCs w:val="24"/>
          <w:lang w:eastAsia="zh-CN"/>
        </w:rPr>
      </w:pPr>
      <w:r w:rsidRPr="000C04FE">
        <w:rPr>
          <w:rFonts w:ascii="Arial Narrow" w:eastAsia="Times New Roman" w:hAnsi="Arial Narrow" w:cs="Arial Narrow"/>
          <w:b/>
          <w:i/>
          <w:sz w:val="24"/>
          <w:szCs w:val="24"/>
          <w:lang w:eastAsia="zh-CN"/>
        </w:rPr>
        <w:t>a)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Arial Narrow"/>
          <w:i/>
          <w:sz w:val="24"/>
          <w:szCs w:val="24"/>
          <w:lang w:eastAsia="zh-CN"/>
        </w:rPr>
        <w:t>Kde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Arial Narrow"/>
          <w:i/>
          <w:sz w:val="24"/>
          <w:szCs w:val="24"/>
          <w:lang w:eastAsia="zh-CN"/>
        </w:rPr>
        <w:t>v zadávací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Arial Narrow"/>
          <w:i/>
          <w:sz w:val="24"/>
          <w:szCs w:val="24"/>
          <w:lang w:eastAsia="zh-CN"/>
        </w:rPr>
        <w:t>dokumentaci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Arial Narrow"/>
          <w:i/>
          <w:sz w:val="24"/>
          <w:szCs w:val="24"/>
          <w:lang w:eastAsia="zh-CN"/>
        </w:rPr>
        <w:t>se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Arial Narrow"/>
          <w:i/>
          <w:sz w:val="24"/>
          <w:szCs w:val="24"/>
          <w:lang w:eastAsia="zh-CN"/>
        </w:rPr>
        <w:t>hovoří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Arial Narrow"/>
          <w:i/>
          <w:sz w:val="24"/>
          <w:szCs w:val="24"/>
          <w:lang w:eastAsia="zh-CN"/>
        </w:rPr>
        <w:t>o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Arial Narrow"/>
          <w:i/>
          <w:sz w:val="24"/>
          <w:szCs w:val="24"/>
          <w:lang w:eastAsia="zh-CN"/>
        </w:rPr>
        <w:t>zpracování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Arial Narrow"/>
          <w:i/>
          <w:sz w:val="24"/>
          <w:szCs w:val="24"/>
          <w:lang w:eastAsia="zh-CN"/>
        </w:rPr>
        <w:t>energetického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Arial Narrow"/>
          <w:i/>
          <w:sz w:val="24"/>
          <w:szCs w:val="24"/>
          <w:lang w:eastAsia="zh-CN"/>
        </w:rPr>
        <w:t>štítku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Arial Narrow"/>
          <w:i/>
          <w:sz w:val="24"/>
          <w:szCs w:val="24"/>
          <w:lang w:eastAsia="zh-CN"/>
        </w:rPr>
        <w:t>uchazečem?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Arial Narrow"/>
          <w:i/>
          <w:sz w:val="24"/>
          <w:szCs w:val="24"/>
          <w:lang w:eastAsia="zh-CN"/>
        </w:rPr>
        <w:t>Došlo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Arial Narrow"/>
          <w:i/>
          <w:sz w:val="24"/>
          <w:szCs w:val="24"/>
          <w:lang w:eastAsia="zh-CN"/>
        </w:rPr>
        <w:t>tedy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Arial Narrow"/>
          <w:i/>
          <w:sz w:val="24"/>
          <w:szCs w:val="24"/>
          <w:lang w:eastAsia="zh-CN"/>
        </w:rPr>
        <w:t>k rozšíření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Arial Narrow"/>
          <w:i/>
          <w:sz w:val="24"/>
          <w:szCs w:val="24"/>
          <w:lang w:eastAsia="zh-CN"/>
        </w:rPr>
        <w:t>zadávací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Arial Narrow"/>
          <w:i/>
          <w:sz w:val="24"/>
          <w:szCs w:val="24"/>
          <w:lang w:eastAsia="zh-CN"/>
        </w:rPr>
        <w:t>dokumentace?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</w:p>
    <w:p w:rsidR="000C04FE" w:rsidRPr="000C04FE" w:rsidRDefault="000C04FE" w:rsidP="000C04FE">
      <w:pPr>
        <w:suppressAutoHyphens/>
        <w:spacing w:after="0" w:line="240" w:lineRule="auto"/>
        <w:rPr>
          <w:rFonts w:ascii="Arial Narrow" w:eastAsia="Times New Roman" w:hAnsi="Arial Narrow" w:cs="Arial Narrow"/>
          <w:i/>
          <w:sz w:val="24"/>
          <w:szCs w:val="24"/>
          <w:lang w:eastAsia="zh-CN"/>
        </w:rPr>
      </w:pPr>
    </w:p>
    <w:p w:rsidR="000C04FE" w:rsidRPr="000C04FE" w:rsidRDefault="000C04FE" w:rsidP="000C04FE">
      <w:pPr>
        <w:suppressAutoHyphens/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eastAsia="zh-CN"/>
        </w:rPr>
      </w:pPr>
      <w:r w:rsidRPr="000C04FE">
        <w:rPr>
          <w:rFonts w:ascii="Arial Narrow" w:eastAsia="Times New Roman" w:hAnsi="Arial Narrow" w:cs="Arial Narrow"/>
          <w:b/>
          <w:i/>
          <w:sz w:val="24"/>
          <w:szCs w:val="24"/>
          <w:lang w:eastAsia="zh-CN"/>
        </w:rPr>
        <w:t>b)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Arial"/>
          <w:i/>
          <w:sz w:val="24"/>
          <w:szCs w:val="24"/>
          <w:lang w:eastAsia="zh-CN"/>
        </w:rPr>
        <w:t>Energetický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štítek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musí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zpracovat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energetický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auditor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s náležitým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oprávněním</w:t>
      </w:r>
      <w:r w:rsidRPr="000C04FE">
        <w:rPr>
          <w:rFonts w:ascii="Arial Narrow" w:eastAsia="Times New Roman" w:hAnsi="Arial Narrow" w:cs="Arial"/>
          <w:i/>
          <w:sz w:val="24"/>
          <w:szCs w:val="24"/>
          <w:lang w:eastAsia="zh-CN"/>
        </w:rPr>
        <w:t>.</w:t>
      </w:r>
    </w:p>
    <w:p w:rsidR="000C04FE" w:rsidRPr="000C04FE" w:rsidRDefault="000C04FE" w:rsidP="000C04FE">
      <w:pPr>
        <w:suppressAutoHyphens/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eastAsia="zh-CN"/>
        </w:rPr>
      </w:pPr>
    </w:p>
    <w:p w:rsidR="000C04FE" w:rsidRPr="000C04FE" w:rsidRDefault="000C04FE" w:rsidP="000C04FE">
      <w:pPr>
        <w:suppressAutoHyphens/>
        <w:spacing w:after="0" w:line="240" w:lineRule="auto"/>
        <w:rPr>
          <w:rFonts w:ascii="Arial Narrow" w:eastAsia="Arial Narrow" w:hAnsi="Arial Narrow" w:cs="Arial Narrow"/>
          <w:i/>
          <w:sz w:val="24"/>
          <w:szCs w:val="24"/>
          <w:lang w:eastAsia="zh-CN"/>
        </w:rPr>
      </w:pPr>
      <w:r w:rsidRPr="000C04FE">
        <w:rPr>
          <w:rFonts w:ascii="Arial Narrow" w:eastAsia="Times New Roman" w:hAnsi="Arial Narrow" w:cs="Arial"/>
          <w:b/>
          <w:i/>
          <w:sz w:val="24"/>
          <w:szCs w:val="24"/>
          <w:lang w:eastAsia="zh-CN"/>
        </w:rPr>
        <w:t>c)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V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případě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zpracování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energetického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štítku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je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nutné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jej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zpracovat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pro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celý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objekt,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tedy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včetně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stávající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části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objektu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1.np,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u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kterého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nejsou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k dispozici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podklady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o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materiálovém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řešení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obvodového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pláště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a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proofErr w:type="spellStart"/>
      <w:proofErr w:type="gramStart"/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tep</w:t>
      </w:r>
      <w:proofErr w:type="gramEnd"/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.</w:t>
      </w:r>
      <w:proofErr w:type="gramStart"/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technické</w:t>
      </w:r>
      <w:proofErr w:type="spellEnd"/>
      <w:proofErr w:type="gramEnd"/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parametry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výplní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oken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a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dveří.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</w:p>
    <w:p w:rsidR="000C04FE" w:rsidRPr="000C04FE" w:rsidRDefault="000C04FE" w:rsidP="000C04FE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zh-CN"/>
        </w:rPr>
      </w:pPr>
    </w:p>
    <w:p w:rsidR="000C04FE" w:rsidRPr="000C04FE" w:rsidRDefault="000C04FE" w:rsidP="000C04FE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zh-CN"/>
        </w:rPr>
      </w:pPr>
      <w:r w:rsidRPr="000C04FE">
        <w:rPr>
          <w:rFonts w:ascii="Arial Narrow" w:eastAsia="Times New Roman" w:hAnsi="Arial Narrow" w:cs="Arial"/>
          <w:b/>
          <w:i/>
          <w:sz w:val="24"/>
          <w:szCs w:val="24"/>
          <w:lang w:eastAsia="zh-CN"/>
        </w:rPr>
        <w:t>d)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V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prováděcím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projektu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jsou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popsány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skladby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konstrukcí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obvodového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pláště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nástavby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s parametry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výplní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otvorů.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Tyto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skladby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jsou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na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první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pohled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navrženy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pro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budovu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s velmi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nízkou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energetickou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náročností,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avšak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o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celkovém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zařazení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objektu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do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klasifikační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proofErr w:type="gramStart"/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třídy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(A,B,C)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rozhodne</w:t>
      </w:r>
      <w:proofErr w:type="gramEnd"/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posouzení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navrženého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řešení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v energetickém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štítku,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zpracovaným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energetickým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auditorem.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Dodavatel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je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povinen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zhotovit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stavbu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dle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ověřené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dokumentace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stavebním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úřadem,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doplněné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v prováděcím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projektu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a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v souladu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s normou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ČSN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73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0540-2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Tepelná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ochrana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budov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část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2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Požadavky.</w:t>
      </w:r>
    </w:p>
    <w:p w:rsidR="000C04FE" w:rsidRPr="000C04FE" w:rsidRDefault="000C04FE" w:rsidP="000C04FE">
      <w:pPr>
        <w:suppressAutoHyphens/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eastAsia="zh-CN"/>
        </w:rPr>
      </w:pPr>
    </w:p>
    <w:p w:rsidR="000C04FE" w:rsidRPr="000C04FE" w:rsidRDefault="000C04FE" w:rsidP="000C04FE">
      <w:pPr>
        <w:suppressAutoHyphens/>
        <w:spacing w:after="0" w:line="240" w:lineRule="auto"/>
        <w:rPr>
          <w:rFonts w:ascii="Arial Narrow" w:eastAsia="Arial Narrow" w:hAnsi="Arial Narrow" w:cs="Arial Narrow"/>
          <w:sz w:val="24"/>
          <w:szCs w:val="24"/>
          <w:lang w:eastAsia="zh-CN"/>
        </w:rPr>
      </w:pPr>
      <w:r w:rsidRPr="000C04FE">
        <w:rPr>
          <w:rFonts w:ascii="Arial Narrow" w:eastAsia="Times New Roman" w:hAnsi="Arial Narrow" w:cs="Arial"/>
          <w:b/>
          <w:i/>
          <w:sz w:val="24"/>
          <w:szCs w:val="24"/>
          <w:lang w:eastAsia="zh-CN"/>
        </w:rPr>
        <w:t>e)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Na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základě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výše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uvedeného: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Jak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se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má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tedy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energetický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štítek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zpracovat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a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v jakém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rozsahu?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Má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být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zpracován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pouze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na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novou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  <w:r w:rsidRPr="000C04FE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nástavbu?</w:t>
      </w:r>
      <w:r w:rsidRPr="000C04FE">
        <w:rPr>
          <w:rFonts w:ascii="Arial Narrow" w:eastAsia="Arial Narrow" w:hAnsi="Arial Narrow" w:cs="Arial Narrow"/>
          <w:i/>
          <w:sz w:val="24"/>
          <w:szCs w:val="24"/>
          <w:lang w:eastAsia="zh-CN"/>
        </w:rPr>
        <w:t xml:space="preserve"> </w:t>
      </w:r>
    </w:p>
    <w:p w:rsidR="000C04FE" w:rsidRPr="000C04FE" w:rsidRDefault="000C04FE" w:rsidP="000C04FE">
      <w:p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zh-CN"/>
        </w:rPr>
      </w:pPr>
    </w:p>
    <w:p w:rsidR="000C04FE" w:rsidRPr="000C04FE" w:rsidRDefault="000C04FE" w:rsidP="000C04FE">
      <w:pPr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zh-CN"/>
        </w:rPr>
      </w:pPr>
    </w:p>
    <w:p w:rsidR="000C04FE" w:rsidRPr="000C04FE" w:rsidRDefault="000C04FE" w:rsidP="000C04F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C04FE">
        <w:rPr>
          <w:rFonts w:ascii="Arial" w:eastAsia="Times New Roman" w:hAnsi="Arial" w:cs="Arial"/>
          <w:b/>
          <w:sz w:val="24"/>
          <w:szCs w:val="24"/>
          <w:lang w:eastAsia="zh-CN"/>
        </w:rPr>
        <w:t>Odpověď č. 11</w:t>
      </w:r>
    </w:p>
    <w:p w:rsidR="000C04FE" w:rsidRPr="000C04FE" w:rsidRDefault="000C04FE" w:rsidP="000C04FE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0C04FE" w:rsidRDefault="000C04FE" w:rsidP="000C04FE">
      <w:pPr>
        <w:suppressAutoHyphens/>
        <w:spacing w:after="0" w:line="240" w:lineRule="auto"/>
        <w:ind w:firstLine="708"/>
        <w:jc w:val="both"/>
        <w:rPr>
          <w:rFonts w:ascii="Arial" w:eastAsia="Arial Narrow" w:hAnsi="Arial" w:cs="Arial"/>
          <w:sz w:val="24"/>
          <w:szCs w:val="24"/>
          <w:lang w:eastAsia="zh-CN"/>
        </w:rPr>
      </w:pPr>
      <w:r w:rsidRPr="000C04FE">
        <w:rPr>
          <w:rFonts w:ascii="Arial" w:eastAsia="Times New Roman" w:hAnsi="Arial" w:cs="Arial"/>
          <w:sz w:val="24"/>
          <w:szCs w:val="24"/>
          <w:lang w:eastAsia="zh-CN"/>
        </w:rPr>
        <w:t>Projekt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rekonstrukce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byl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zpracován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se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záměrem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maximální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úspory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energií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a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zadavatel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má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proto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zájem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na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tom,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aby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si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uchazeči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této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skutečnosti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byli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vědomi.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Projektant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proto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vypracoval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jako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součást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projektu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energetický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štítek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na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základě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vypracovaného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technického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řešení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a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jím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zamýšlených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materiálů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k použití.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S ohledem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na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omezení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zákona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pro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použití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konkrétních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obchodních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názvů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v zadávací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dokumentaci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je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zcela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na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odborném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posouzení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a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následném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návrhu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uchazeče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konkrétní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řešení.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Požadavek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na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předložení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energetického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štítku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v nabídce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uchazeče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lastRenderedPageBreak/>
        <w:t>odpovídá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tomuto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záměru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zadavatele.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Tím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bude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zároveň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pro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zadavatele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jasné,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že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konkrétní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nabídka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uchazeče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splňuje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požadavky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zadavatelem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kladené.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Pokud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uchazeč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hodlá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dosáhnout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lepších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parametrů,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než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jsou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stanovené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v zadávací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dokumentaci,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předloží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svůj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vlastní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zpracovaný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energetický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štítek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s vypočtenými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parametry.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Tento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energetický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štítek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musí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být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zpracován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osobou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k tomu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oprávněnou.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V případě,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kdy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uchazeč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dosáhne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parametrů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stanovených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v zadávací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dokumentaci,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může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použít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ve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své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nabídce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energetický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štítek,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který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je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součástí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zadávací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dokumentace.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Zadavatel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výslovně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upozorňuje,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že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po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dokončení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stavby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bude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dílo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převzato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pouze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za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předpokladu,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že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energetická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náročnost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budovy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podle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energetického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štítku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bude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minimálně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shodná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s hodnotou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uvedenou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  <w:r w:rsidRPr="000C04FE">
        <w:rPr>
          <w:rFonts w:ascii="Arial" w:eastAsia="Times New Roman" w:hAnsi="Arial" w:cs="Arial"/>
          <w:sz w:val="24"/>
          <w:szCs w:val="24"/>
          <w:lang w:eastAsia="zh-CN"/>
        </w:rPr>
        <w:t>v nabídce.</w:t>
      </w:r>
      <w:r w:rsidRPr="000C04FE">
        <w:rPr>
          <w:rFonts w:ascii="Arial" w:eastAsia="Arial Narrow" w:hAnsi="Arial" w:cs="Arial"/>
          <w:sz w:val="24"/>
          <w:szCs w:val="24"/>
          <w:lang w:eastAsia="zh-CN"/>
        </w:rPr>
        <w:t xml:space="preserve"> </w:t>
      </w:r>
    </w:p>
    <w:p w:rsidR="00713A21" w:rsidRDefault="00713A21" w:rsidP="000C04FE">
      <w:pPr>
        <w:suppressAutoHyphens/>
        <w:spacing w:after="0" w:line="240" w:lineRule="auto"/>
        <w:ind w:firstLine="708"/>
        <w:jc w:val="both"/>
        <w:rPr>
          <w:rFonts w:ascii="Arial" w:eastAsia="Arial Narrow" w:hAnsi="Arial" w:cs="Arial"/>
          <w:sz w:val="24"/>
          <w:szCs w:val="24"/>
          <w:lang w:eastAsia="zh-CN"/>
        </w:rPr>
      </w:pPr>
    </w:p>
    <w:p w:rsidR="00713A21" w:rsidRDefault="00713A21" w:rsidP="000C04FE">
      <w:pPr>
        <w:suppressAutoHyphens/>
        <w:spacing w:after="0" w:line="240" w:lineRule="auto"/>
        <w:ind w:firstLine="708"/>
        <w:jc w:val="both"/>
        <w:rPr>
          <w:rFonts w:ascii="Arial" w:eastAsia="Arial Narrow" w:hAnsi="Arial" w:cs="Arial"/>
          <w:sz w:val="24"/>
          <w:szCs w:val="24"/>
          <w:lang w:eastAsia="zh-CN"/>
        </w:rPr>
      </w:pPr>
    </w:p>
    <w:p w:rsidR="00713A21" w:rsidRDefault="00713A21" w:rsidP="000C04FE">
      <w:pPr>
        <w:suppressAutoHyphens/>
        <w:spacing w:after="0" w:line="240" w:lineRule="auto"/>
        <w:ind w:firstLine="708"/>
        <w:jc w:val="both"/>
        <w:rPr>
          <w:rFonts w:ascii="Arial" w:eastAsia="Arial Narrow" w:hAnsi="Arial" w:cs="Arial"/>
          <w:sz w:val="24"/>
          <w:szCs w:val="24"/>
          <w:lang w:eastAsia="zh-CN"/>
        </w:rPr>
      </w:pPr>
    </w:p>
    <w:p w:rsidR="00713A21" w:rsidRPr="00713A21" w:rsidRDefault="00713A21" w:rsidP="00713A21">
      <w:pPr>
        <w:suppressAutoHyphens/>
        <w:spacing w:after="0" w:line="240" w:lineRule="auto"/>
        <w:jc w:val="both"/>
        <w:rPr>
          <w:rFonts w:ascii="Arial" w:eastAsia="Arial Narrow" w:hAnsi="Arial" w:cs="Arial"/>
          <w:b/>
          <w:sz w:val="24"/>
          <w:szCs w:val="24"/>
          <w:lang w:eastAsia="zh-CN"/>
        </w:rPr>
      </w:pPr>
      <w:r w:rsidRPr="00713A21">
        <w:rPr>
          <w:rFonts w:ascii="Arial" w:eastAsia="Arial Narrow" w:hAnsi="Arial" w:cs="Arial"/>
          <w:b/>
          <w:sz w:val="24"/>
          <w:szCs w:val="24"/>
          <w:lang w:eastAsia="zh-CN"/>
        </w:rPr>
        <w:t>Dotaz č. 12</w:t>
      </w:r>
    </w:p>
    <w:p w:rsidR="00713A21" w:rsidRDefault="00713A21" w:rsidP="00713A21">
      <w:pPr>
        <w:suppressAutoHyphens/>
        <w:spacing w:after="0" w:line="240" w:lineRule="auto"/>
        <w:jc w:val="both"/>
        <w:rPr>
          <w:rFonts w:ascii="Arial" w:eastAsia="Arial Narrow" w:hAnsi="Arial" w:cs="Arial"/>
          <w:sz w:val="24"/>
          <w:szCs w:val="24"/>
          <w:lang w:eastAsia="zh-CN"/>
        </w:rPr>
      </w:pPr>
    </w:p>
    <w:p w:rsidR="00713A21" w:rsidRPr="00713A21" w:rsidRDefault="00713A21" w:rsidP="00713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</w:t>
      </w:r>
      <w:r w:rsidRPr="00713A21">
        <w:rPr>
          <w:rFonts w:ascii="Arial" w:hAnsi="Arial" w:cs="Arial"/>
          <w:i/>
          <w:sz w:val="24"/>
          <w:szCs w:val="24"/>
        </w:rPr>
        <w:t xml:space="preserve"> PD na výše uvedenou veřejnou zakázku jsme nalezli následující text:</w:t>
      </w:r>
    </w:p>
    <w:p w:rsidR="00713A21" w:rsidRPr="00713A21" w:rsidRDefault="00713A21" w:rsidP="00713A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13A21">
        <w:rPr>
          <w:rFonts w:ascii="Arial" w:hAnsi="Arial" w:cs="Arial"/>
          <w:i/>
          <w:sz w:val="24"/>
          <w:szCs w:val="24"/>
        </w:rPr>
        <w:t>„*Vzhledem k tomu, že je stávající technologie ÚT i VZT řízena jedním</w:t>
      </w:r>
      <w:r w:rsidRPr="00713A21">
        <w:rPr>
          <w:rFonts w:ascii="Arial" w:hAnsi="Arial" w:cs="Arial"/>
          <w:i/>
          <w:sz w:val="24"/>
          <w:szCs w:val="24"/>
        </w:rPr>
        <w:t xml:space="preserve"> </w:t>
      </w:r>
      <w:r w:rsidRPr="00713A21">
        <w:rPr>
          <w:rFonts w:ascii="Arial" w:hAnsi="Arial" w:cs="Arial"/>
          <w:i/>
          <w:sz w:val="24"/>
          <w:szCs w:val="24"/>
        </w:rPr>
        <w:t xml:space="preserve">typem </w:t>
      </w:r>
      <w:proofErr w:type="spellStart"/>
      <w:r w:rsidRPr="00713A21">
        <w:rPr>
          <w:rFonts w:ascii="Arial" w:hAnsi="Arial" w:cs="Arial"/>
          <w:i/>
          <w:sz w:val="24"/>
          <w:szCs w:val="24"/>
        </w:rPr>
        <w:t>mikroprocesorováho</w:t>
      </w:r>
      <w:proofErr w:type="spellEnd"/>
      <w:r w:rsidRPr="00713A21">
        <w:rPr>
          <w:rFonts w:ascii="Arial" w:hAnsi="Arial" w:cs="Arial"/>
          <w:i/>
          <w:sz w:val="24"/>
          <w:szCs w:val="24"/>
        </w:rPr>
        <w:t xml:space="preserve"> </w:t>
      </w:r>
      <w:r w:rsidRPr="00713A21">
        <w:rPr>
          <w:rFonts w:ascii="Arial" w:hAnsi="Arial" w:cs="Arial"/>
          <w:i/>
          <w:sz w:val="24"/>
          <w:szCs w:val="24"/>
        </w:rPr>
        <w:t>p</w:t>
      </w:r>
      <w:r w:rsidRPr="00713A21">
        <w:rPr>
          <w:rFonts w:ascii="Arial" w:hAnsi="Arial" w:cs="Arial"/>
          <w:i/>
          <w:sz w:val="24"/>
          <w:szCs w:val="24"/>
        </w:rPr>
        <w:t>rogramovatelného regulátoru, tak je nutno z</w:t>
      </w:r>
      <w:r w:rsidRPr="00713A21">
        <w:rPr>
          <w:rFonts w:ascii="Arial" w:hAnsi="Arial" w:cs="Arial"/>
          <w:i/>
          <w:sz w:val="24"/>
          <w:szCs w:val="24"/>
        </w:rPr>
        <w:t xml:space="preserve"> </w:t>
      </w:r>
      <w:r w:rsidRPr="00713A21">
        <w:rPr>
          <w:rFonts w:ascii="Arial" w:hAnsi="Arial" w:cs="Arial"/>
          <w:i/>
          <w:sz w:val="24"/>
          <w:szCs w:val="24"/>
        </w:rPr>
        <w:t xml:space="preserve">hlediska kompatibility a připojení na nadřazený </w:t>
      </w:r>
      <w:proofErr w:type="gramStart"/>
      <w:r w:rsidRPr="00713A21">
        <w:rPr>
          <w:rFonts w:ascii="Arial" w:hAnsi="Arial" w:cs="Arial"/>
          <w:i/>
          <w:sz w:val="24"/>
          <w:szCs w:val="24"/>
        </w:rPr>
        <w:t>řídící</w:t>
      </w:r>
      <w:proofErr w:type="gramEnd"/>
      <w:r w:rsidRPr="00713A21">
        <w:rPr>
          <w:rFonts w:ascii="Arial" w:hAnsi="Arial" w:cs="Arial"/>
          <w:i/>
          <w:sz w:val="24"/>
          <w:szCs w:val="24"/>
        </w:rPr>
        <w:t xml:space="preserve"> systém, použít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713A21">
        <w:rPr>
          <w:rFonts w:ascii="Arial" w:hAnsi="Arial" w:cs="Arial"/>
          <w:i/>
          <w:sz w:val="24"/>
          <w:szCs w:val="24"/>
        </w:rPr>
        <w:t>stejný typ regulátorů pro řízení nově navrhované technologie.“*</w:t>
      </w:r>
    </w:p>
    <w:p w:rsidR="00713A21" w:rsidRPr="00713A21" w:rsidRDefault="00713A21" w:rsidP="00713A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713A21">
        <w:rPr>
          <w:rFonts w:ascii="Arial" w:hAnsi="Arial" w:cs="Arial"/>
          <w:i/>
          <w:sz w:val="24"/>
          <w:szCs w:val="24"/>
        </w:rPr>
        <w:t xml:space="preserve">Prosím o </w:t>
      </w:r>
      <w:proofErr w:type="gramStart"/>
      <w:r w:rsidRPr="00713A21">
        <w:rPr>
          <w:rFonts w:ascii="Arial" w:hAnsi="Arial" w:cs="Arial"/>
          <w:i/>
          <w:sz w:val="24"/>
          <w:szCs w:val="24"/>
        </w:rPr>
        <w:t>sdělení o jaký</w:t>
      </w:r>
      <w:proofErr w:type="gramEnd"/>
      <w:r w:rsidRPr="00713A21">
        <w:rPr>
          <w:rFonts w:ascii="Arial" w:hAnsi="Arial" w:cs="Arial"/>
          <w:i/>
          <w:sz w:val="24"/>
          <w:szCs w:val="24"/>
        </w:rPr>
        <w:t xml:space="preserve"> typ se jedná.</w:t>
      </w:r>
    </w:p>
    <w:p w:rsidR="00713A21" w:rsidRDefault="00713A21" w:rsidP="000C04FE">
      <w:pPr>
        <w:pStyle w:val="Vchoz"/>
      </w:pPr>
    </w:p>
    <w:p w:rsidR="00713A21" w:rsidRPr="00713A21" w:rsidRDefault="00713A21" w:rsidP="000C04FE">
      <w:pPr>
        <w:pStyle w:val="Vchoz"/>
        <w:rPr>
          <w:rFonts w:ascii="Arial" w:hAnsi="Arial" w:cs="Arial"/>
          <w:b/>
        </w:rPr>
      </w:pPr>
      <w:r w:rsidRPr="00713A21">
        <w:rPr>
          <w:rFonts w:ascii="Arial" w:hAnsi="Arial" w:cs="Arial"/>
          <w:b/>
        </w:rPr>
        <w:t xml:space="preserve">Odpověď </w:t>
      </w:r>
      <w:proofErr w:type="gramStart"/>
      <w:r w:rsidRPr="00713A21">
        <w:rPr>
          <w:rFonts w:ascii="Arial" w:hAnsi="Arial" w:cs="Arial"/>
          <w:b/>
        </w:rPr>
        <w:t>č.12</w:t>
      </w:r>
      <w:proofErr w:type="gramEnd"/>
    </w:p>
    <w:p w:rsidR="00713A21" w:rsidRDefault="00713A21" w:rsidP="00713A21">
      <w:pPr>
        <w:pStyle w:val="Vchoz"/>
        <w:spacing w:after="0"/>
      </w:pPr>
      <w:r>
        <w:rPr>
          <w:rFonts w:ascii="Arial" w:hAnsi="Arial" w:cs="Arial"/>
          <w:sz w:val="24"/>
          <w:szCs w:val="24"/>
        </w:rPr>
        <w:tab/>
      </w:r>
      <w:bookmarkStart w:id="1" w:name="_GoBack"/>
      <w:bookmarkEnd w:id="1"/>
      <w:r w:rsidRPr="00713A21">
        <w:rPr>
          <w:rFonts w:ascii="Arial" w:hAnsi="Arial" w:cs="Arial"/>
          <w:sz w:val="24"/>
          <w:szCs w:val="24"/>
        </w:rPr>
        <w:t xml:space="preserve">Jak </w:t>
      </w:r>
      <w:r w:rsidRPr="00713A21">
        <w:rPr>
          <w:rFonts w:ascii="Arial" w:hAnsi="Arial" w:cs="Arial"/>
          <w:sz w:val="24"/>
          <w:szCs w:val="24"/>
        </w:rPr>
        <w:t xml:space="preserve">řídící systém, tak stávající mikroprocesorový programovatelný regulátor je kompatibilní s nadřazeným </w:t>
      </w:r>
      <w:proofErr w:type="gramStart"/>
      <w:r w:rsidRPr="00713A21">
        <w:rPr>
          <w:rFonts w:ascii="Arial" w:hAnsi="Arial" w:cs="Arial"/>
          <w:sz w:val="24"/>
          <w:szCs w:val="24"/>
        </w:rPr>
        <w:t>řídícím</w:t>
      </w:r>
      <w:proofErr w:type="gramEnd"/>
      <w:r w:rsidRPr="00713A21">
        <w:rPr>
          <w:rFonts w:ascii="Arial" w:hAnsi="Arial" w:cs="Arial"/>
          <w:sz w:val="24"/>
          <w:szCs w:val="24"/>
        </w:rPr>
        <w:t xml:space="preserve"> systémem Johnson Controls</w:t>
      </w:r>
      <w:r>
        <w:t>.</w:t>
      </w:r>
    </w:p>
    <w:p w:rsidR="00713A21" w:rsidRDefault="00713A21" w:rsidP="00713A21">
      <w:pPr>
        <w:pStyle w:val="Vchoz"/>
        <w:spacing w:after="0"/>
      </w:pPr>
    </w:p>
    <w:sectPr w:rsidR="00713A2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el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6185"/>
    <w:rsid w:val="000C04FE"/>
    <w:rsid w:val="003E7D20"/>
    <w:rsid w:val="004B7A9D"/>
    <w:rsid w:val="00713A21"/>
    <w:rsid w:val="008A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tabs>
        <w:tab w:val="left" w:pos="708"/>
      </w:tabs>
      <w:suppressAutoHyphens/>
    </w:pPr>
    <w:rPr>
      <w:rFonts w:ascii="Calibri" w:eastAsia="Calibri" w:hAnsi="Calibri" w:cs="Times New Roman"/>
      <w:lang w:eastAsia="zh-CN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character" w:customStyle="1" w:styleId="Internetovodkaz">
    <w:name w:val="Internetový odkaz"/>
    <w:rPr>
      <w:color w:val="000080"/>
      <w:u w:val="single"/>
      <w:lang w:val="cs-CZ" w:eastAsia="cs-CZ" w:bidi="cs-CZ"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Lohit Hindi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Lohit Hindi"/>
    </w:rPr>
  </w:style>
  <w:style w:type="paragraph" w:styleId="Textbubliny">
    <w:name w:val="Balloon Text"/>
    <w:basedOn w:val="Vchoz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Vchoz"/>
    <w:pPr>
      <w:spacing w:line="100" w:lineRule="atLeast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customStyle="1" w:styleId="Obsahtabulky">
    <w:name w:val="Obsah tabulky"/>
    <w:basedOn w:val="Vchoz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 v Praze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 Garant</dc:creator>
  <cp:lastModifiedBy>aa aa</cp:lastModifiedBy>
  <cp:revision>3</cp:revision>
  <dcterms:created xsi:type="dcterms:W3CDTF">2012-04-19T12:07:00Z</dcterms:created>
  <dcterms:modified xsi:type="dcterms:W3CDTF">2012-04-19T12:13:00Z</dcterms:modified>
</cp:coreProperties>
</file>